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BA" w:rsidRDefault="008529C8">
      <w:pPr>
        <w:spacing w:line="276" w:lineRule="auto"/>
        <w:ind w:firstLineChars="0" w:firstLine="0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“正大杯”</w:t>
      </w:r>
    </w:p>
    <w:p w:rsidR="006865BA" w:rsidRDefault="008529C8">
      <w:pPr>
        <w:spacing w:line="276" w:lineRule="auto"/>
        <w:ind w:firstLineChars="0" w:firstLine="0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2020年大学生创新创业实战营销大赛</w:t>
      </w:r>
    </w:p>
    <w:p w:rsidR="006865BA" w:rsidRDefault="008529C8">
      <w:pPr>
        <w:spacing w:line="276" w:lineRule="auto"/>
        <w:ind w:firstLineChars="0" w:firstLine="0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/>
          <w:b/>
          <w:bCs/>
          <w:sz w:val="44"/>
          <w:szCs w:val="44"/>
        </w:rPr>
        <w:t>参赛指南</w:t>
      </w:r>
    </w:p>
    <w:p w:rsidR="006865BA" w:rsidRDefault="008529C8">
      <w:pPr>
        <w:spacing w:line="240" w:lineRule="auto"/>
        <w:ind w:firstLineChars="0" w:firstLine="0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一、赛事简介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正大集</w:t>
      </w:r>
      <w:r>
        <w:rPr>
          <w:rFonts w:ascii="方正仿宋简体" w:eastAsia="方正仿宋简体" w:hint="eastAsia"/>
          <w:sz w:val="32"/>
          <w:szCs w:val="32"/>
        </w:rPr>
        <w:t>团自</w:t>
      </w:r>
      <w:r>
        <w:rPr>
          <w:rFonts w:ascii="Times New Roman" w:eastAsia="方正仿宋简体" w:hAnsi="Times New Roman" w:cs="Times New Roman"/>
          <w:sz w:val="32"/>
          <w:szCs w:val="32"/>
        </w:rPr>
        <w:t>2016</w:t>
      </w:r>
      <w:r>
        <w:rPr>
          <w:rFonts w:ascii="Times New Roman" w:eastAsia="方正仿宋简体" w:hAnsi="Times New Roman" w:cs="Times New Roman"/>
          <w:sz w:val="32"/>
          <w:szCs w:val="32"/>
        </w:rPr>
        <w:t>年起</w:t>
      </w:r>
      <w:r>
        <w:rPr>
          <w:rFonts w:ascii="方正仿宋简体" w:eastAsia="方正仿宋简体" w:hint="eastAsia"/>
          <w:sz w:val="32"/>
          <w:szCs w:val="32"/>
        </w:rPr>
        <w:t>每年举办“正大杯”大学生创新创业实战营销大赛，大赛以“创未来，趁现在”为口号，为全国大学生提供了</w:t>
      </w:r>
      <w:r>
        <w:rPr>
          <w:rFonts w:ascii="方正仿宋简体" w:eastAsia="方正仿宋简体"/>
          <w:sz w:val="32"/>
          <w:szCs w:val="32"/>
        </w:rPr>
        <w:t>一个</w:t>
      </w:r>
      <w:r>
        <w:rPr>
          <w:rFonts w:ascii="方正仿宋简体" w:eastAsia="方正仿宋简体" w:hint="eastAsia"/>
          <w:sz w:val="32"/>
          <w:szCs w:val="32"/>
        </w:rPr>
        <w:t>展示创新创业能力的舞台，致力于发现和培养一批具有创新思维和创业潜力的优秀人才，打造全周期精准创新创业人才培养新模式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年起</w:t>
      </w:r>
      <w:r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中国</w:t>
      </w:r>
      <w:r>
        <w:rPr>
          <w:rFonts w:ascii="Times New Roman" w:eastAsia="方正仿宋简体" w:hAnsi="Times New Roman" w:cs="Times New Roman"/>
          <w:sz w:val="32"/>
          <w:szCs w:val="32"/>
        </w:rPr>
        <w:t>青年创业就业基金会拟与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正大</w:t>
      </w:r>
      <w:r>
        <w:rPr>
          <w:rFonts w:ascii="Times New Roman" w:eastAsia="方正仿宋简体" w:hAnsi="Times New Roman" w:cs="Times New Roman"/>
          <w:sz w:val="32"/>
          <w:szCs w:val="32"/>
        </w:rPr>
        <w:t>集团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连续</w:t>
      </w:r>
      <w:r>
        <w:rPr>
          <w:rFonts w:ascii="Times New Roman" w:eastAsia="方正仿宋简体" w:hAnsi="Times New Roman" w:cs="Times New Roman"/>
          <w:sz w:val="32"/>
          <w:szCs w:val="32"/>
        </w:rPr>
        <w:t>三年共同举办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大赛，进一步扩大</w:t>
      </w:r>
      <w:r>
        <w:rPr>
          <w:rFonts w:ascii="Times New Roman" w:eastAsia="方正仿宋简体" w:hAnsi="Times New Roman" w:cs="Times New Roman"/>
          <w:sz w:val="32"/>
          <w:szCs w:val="32"/>
        </w:rPr>
        <w:t>大赛影响力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和</w:t>
      </w:r>
      <w:r>
        <w:rPr>
          <w:rFonts w:ascii="Times New Roman" w:eastAsia="方正仿宋简体" w:hAnsi="Times New Roman" w:cs="Times New Roman"/>
          <w:sz w:val="32"/>
          <w:szCs w:val="32"/>
        </w:rPr>
        <w:t>覆盖范围</w:t>
      </w:r>
      <w:r>
        <w:rPr>
          <w:rFonts w:ascii="方正仿宋简体" w:eastAsia="方正仿宋简体" w:hint="eastAsia"/>
          <w:sz w:val="32"/>
          <w:szCs w:val="32"/>
        </w:rPr>
        <w:t>，引导和培养更多高校学生</w:t>
      </w:r>
      <w:r>
        <w:rPr>
          <w:rFonts w:ascii="Times New Roman" w:eastAsia="方正仿宋简体" w:hAnsi="Times New Roman" w:cs="Times New Roman"/>
          <w:sz w:val="32"/>
          <w:szCs w:val="32"/>
        </w:rPr>
        <w:t>创新精神和创业实践能力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6865BA" w:rsidRDefault="008529C8">
      <w:pPr>
        <w:spacing w:line="240" w:lineRule="auto"/>
        <w:ind w:firstLineChars="0" w:firstLine="0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二、组织架构</w:t>
      </w:r>
    </w:p>
    <w:p w:rsidR="006865BA" w:rsidRDefault="008529C8">
      <w:pPr>
        <w:spacing w:line="560" w:lineRule="exact"/>
        <w:ind w:firstLine="64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主办单位：中国青年创业就业基金会、正大集团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承办单位：正大集团各省分公司</w:t>
      </w:r>
    </w:p>
    <w:p w:rsidR="006865BA" w:rsidRDefault="008529C8">
      <w:pPr>
        <w:spacing w:line="560" w:lineRule="exact"/>
        <w:ind w:firstLine="64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协办单位：各地高校</w:t>
      </w:r>
    </w:p>
    <w:p w:rsidR="006865BA" w:rsidRDefault="008529C8">
      <w:pPr>
        <w:spacing w:line="240" w:lineRule="auto"/>
        <w:ind w:firstLineChars="0" w:firstLine="0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三、参赛对象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1. 16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至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35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周岁的在校生，学历不限，专科、本科、硕士、博士等在读学生均可；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2. 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参赛者以组队的形式参赛，每个团队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 2-5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人，应包含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名队长，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1-2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名指导老师；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3. 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团队所隶属的赛区由参赛团队学校所在地确定。</w:t>
      </w:r>
    </w:p>
    <w:p w:rsidR="006865BA" w:rsidRDefault="008529C8">
      <w:pPr>
        <w:spacing w:line="240" w:lineRule="auto"/>
        <w:ind w:firstLineChars="0" w:firstLine="0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四、赛区划分</w:t>
      </w:r>
    </w:p>
    <w:p w:rsidR="006865BA" w:rsidRDefault="008529C8">
      <w:pPr>
        <w:spacing w:line="560" w:lineRule="exact"/>
        <w:ind w:firstLine="64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全国共分为七个赛区。分别为: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 xml:space="preserve">1. </w:t>
      </w:r>
      <w:r>
        <w:rPr>
          <w:rFonts w:ascii="Times New Roman" w:eastAsia="方正仿宋简体" w:hAnsi="Times New Roman" w:cs="Times New Roman"/>
          <w:sz w:val="32"/>
          <w:szCs w:val="32"/>
        </w:rPr>
        <w:t>黑龙江赛区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2. </w:t>
      </w:r>
      <w:r>
        <w:rPr>
          <w:rFonts w:ascii="Times New Roman" w:eastAsia="方正仿宋简体" w:hAnsi="Times New Roman" w:cs="Times New Roman"/>
          <w:sz w:val="32"/>
          <w:szCs w:val="32"/>
        </w:rPr>
        <w:t>中东南赛区</w:t>
      </w:r>
      <w:r>
        <w:rPr>
          <w:rFonts w:ascii="Times New Roman" w:eastAsia="方正仿宋简体" w:hAnsi="Times New Roman" w:cs="Times New Roman"/>
          <w:sz w:val="32"/>
          <w:szCs w:val="32"/>
        </w:rPr>
        <w:t>(</w:t>
      </w:r>
      <w:r>
        <w:rPr>
          <w:rFonts w:ascii="Times New Roman" w:eastAsia="方正仿宋简体" w:hAnsi="Times New Roman" w:cs="Times New Roman"/>
          <w:sz w:val="32"/>
          <w:szCs w:val="32"/>
        </w:rPr>
        <w:t>浙江、安徽、海南、河南、广西北海、钦州、福建）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3.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中南赛区（湖北、湖南、江西、广西南宁、柳州、广东）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4.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北方赛区（陕西、内蒙古、甘肃、山西</w:t>
      </w:r>
      <w:r>
        <w:rPr>
          <w:rFonts w:ascii="Times New Roman" w:eastAsia="方正仿宋简体" w:hAnsi="Times New Roman" w:cs="Times New Roman"/>
          <w:sz w:val="32"/>
          <w:szCs w:val="32"/>
        </w:rPr>
        <w:t>)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5.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西南赛区（四川、云南、贵州、重庆）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6.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津冀赛区（河北、天津）</w:t>
      </w:r>
    </w:p>
    <w:p w:rsidR="006865BA" w:rsidRDefault="008529C8">
      <w:pPr>
        <w:spacing w:line="560" w:lineRule="exact"/>
        <w:ind w:firstLine="640"/>
        <w:rPr>
          <w:rFonts w:ascii="宋体" w:eastAsia="宋体" w:hAnsi="宋体"/>
          <w:sz w:val="30"/>
          <w:szCs w:val="30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7.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江苏赛区</w:t>
      </w:r>
    </w:p>
    <w:p w:rsidR="006865BA" w:rsidRDefault="008529C8">
      <w:pPr>
        <w:spacing w:line="240" w:lineRule="auto"/>
        <w:ind w:firstLineChars="0" w:firstLine="0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五、大赛流程及规则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大赛分为注册报名、赛区初赛、赛区决赛、全国总决赛四个阶段；各赛区报名、初赛、赛区</w:t>
      </w:r>
      <w:r>
        <w:rPr>
          <w:rFonts w:ascii="Times New Roman" w:eastAsia="方正仿宋简体" w:hAnsi="Times New Roman" w:cs="Times New Roman"/>
          <w:sz w:val="32"/>
          <w:szCs w:val="32"/>
        </w:rPr>
        <w:t>决赛时间另行通知公示。</w:t>
      </w:r>
    </w:p>
    <w:p w:rsidR="006865BA" w:rsidRDefault="008529C8" w:rsidP="008529C8">
      <w:pPr>
        <w:spacing w:line="560" w:lineRule="exact"/>
        <w:ind w:firstLine="64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第一阶段：注册报名（活动启动后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-5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31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日）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登陆大赛网站</w:t>
      </w:r>
      <w:r>
        <w:rPr>
          <w:rFonts w:ascii="Times New Roman" w:eastAsia="方正仿宋简体" w:hAnsi="Times New Roman" w:cs="Times New Roman"/>
          <w:sz w:val="32"/>
          <w:szCs w:val="32"/>
        </w:rPr>
        <w:t>http://www.ccfye.com</w:t>
      </w:r>
      <w:r>
        <w:rPr>
          <w:rFonts w:ascii="Times New Roman" w:eastAsia="方正仿宋简体" w:hAnsi="Times New Roman" w:cs="Times New Roman"/>
          <w:sz w:val="32"/>
          <w:szCs w:val="32"/>
        </w:rPr>
        <w:t>阅读并同意《参赛须知》，注册完善个人信息、创建参赛团队，完成报名。</w:t>
      </w:r>
    </w:p>
    <w:p w:rsidR="006865BA" w:rsidRDefault="008529C8" w:rsidP="008529C8">
      <w:pPr>
        <w:spacing w:line="560" w:lineRule="exact"/>
        <w:ind w:firstLine="64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第二阶段：赛区初赛（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6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日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-6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30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日）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各赛区分别举办初赛。初赛依据商业模式分为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B2C</w:t>
      </w:r>
      <w:r>
        <w:rPr>
          <w:rFonts w:ascii="Times New Roman" w:eastAsia="方正仿宋简体" w:hAnsi="Times New Roman" w:cs="Times New Roman"/>
          <w:sz w:val="32"/>
          <w:szCs w:val="32"/>
        </w:rPr>
        <w:t>（终端消费模式）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赛道和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B2B</w:t>
      </w:r>
      <w:r>
        <w:rPr>
          <w:rFonts w:ascii="Times New Roman" w:eastAsia="方正仿宋简体" w:hAnsi="Times New Roman" w:cs="Times New Roman"/>
          <w:sz w:val="32"/>
          <w:szCs w:val="32"/>
        </w:rPr>
        <w:t>（大宗采购模式）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赛道。初赛成绩排名前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的团队进入所在地的赛区决赛，晋级赛区决赛的名额依照各分赛区赛道报名比例分配，由分赛区组委会决定。</w:t>
      </w:r>
    </w:p>
    <w:p w:rsidR="006865BA" w:rsidRDefault="008529C8" w:rsidP="008529C8">
      <w:pPr>
        <w:spacing w:line="560" w:lineRule="exact"/>
        <w:ind w:firstLine="64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第三阶段：赛区决赛（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7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月上旬）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赛区决赛采用线上或线下答辩的形式。答辩路演时间为每个作品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分钟，其中选手阐述为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分钟，回答评委提问为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分钟。参赛团队分别从方案介绍、营销策略、产品运营、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lastRenderedPageBreak/>
        <w:t>发展规划、团队展现等方面对策划案进行讲解。全国共选拔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支优秀团队进入中国总决赛，各赛区根据组委会配额对所在区参赛项目进行选拔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 w:rsidP="008529C8">
      <w:pPr>
        <w:spacing w:line="560" w:lineRule="exact"/>
        <w:ind w:firstLine="64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第四阶段：全国总决赛（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7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月下旬）</w:t>
      </w:r>
    </w:p>
    <w:p w:rsidR="006865BA" w:rsidRDefault="008529C8" w:rsidP="008529C8">
      <w:pPr>
        <w:spacing w:line="240" w:lineRule="auto"/>
        <w:ind w:firstLine="640"/>
        <w:rPr>
          <w:rFonts w:ascii="宋体" w:eastAsia="宋体" w:hAnsi="宋体"/>
          <w:sz w:val="28"/>
          <w:szCs w:val="28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总决赛将提前发布决赛命题，全面考验参赛选手的营销能力，针对发布的命题即时策划营销方案，并进行实践。根据新冠疫情情况，实战营销可选择线上直播营销或线下门店营销的形式。</w:t>
      </w:r>
    </w:p>
    <w:p w:rsidR="006865BA" w:rsidRDefault="008529C8">
      <w:pPr>
        <w:spacing w:line="240" w:lineRule="auto"/>
        <w:ind w:firstLineChars="0" w:firstLine="0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/>
          <w:sz w:val="32"/>
          <w:szCs w:val="32"/>
        </w:rPr>
        <w:t>六、评审规则</w:t>
      </w:r>
    </w:p>
    <w:p w:rsidR="006865BA" w:rsidRDefault="008529C8">
      <w:pPr>
        <w:spacing w:line="560" w:lineRule="exact"/>
        <w:ind w:firstLine="640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Times New Roman"/>
          <w:sz w:val="32"/>
          <w:szCs w:val="32"/>
        </w:rPr>
        <w:t>（一）赛区初赛评审规则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各赛区分别举办初赛，评审采用线上方式进行。晋级赛区决赛的名额依照各分赛区赛道报名比例分配，由分赛区组委会决定。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赛区初赛成绩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=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营销策划案成绩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×40%+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实战营销成绩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×60%=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总成绩。</w:t>
      </w:r>
    </w:p>
    <w:p w:rsidR="006865BA" w:rsidRDefault="008529C8">
      <w:pPr>
        <w:spacing w:line="560" w:lineRule="exact"/>
        <w:ind w:firstLine="640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Times New Roman"/>
          <w:sz w:val="32"/>
          <w:szCs w:val="32"/>
        </w:rPr>
        <w:t xml:space="preserve">1. </w:t>
      </w:r>
      <w:r>
        <w:rPr>
          <w:rFonts w:ascii="Times New Roman" w:eastAsia="方正楷体简体" w:hAnsi="Times New Roman" w:cs="Times New Roman"/>
          <w:sz w:val="32"/>
          <w:szCs w:val="32"/>
        </w:rPr>
        <w:t>营销策划案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参赛团队登录大赛网站提交营销策划案。</w:t>
      </w:r>
      <w:r>
        <w:rPr>
          <w:rFonts w:ascii="Times New Roman" w:eastAsia="方正仿宋简体" w:hAnsi="Times New Roman" w:cs="Times New Roman"/>
          <w:sz w:val="32"/>
          <w:szCs w:val="32"/>
        </w:rPr>
        <w:t>各大赛区评审组对参赛团队提交的营销策划案从行业分析、市场调研、商业模式、营销策略、行动方案五个方面进行评分，评分采用百分制。此项占赛区初赛成绩的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40%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营销策划案成绩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=</w:t>
      </w:r>
      <w:r>
        <w:rPr>
          <w:rFonts w:ascii="Times New Roman" w:eastAsia="方正仿宋简体" w:hAnsi="Times New Roman" w:cs="Times New Roman"/>
          <w:sz w:val="32"/>
          <w:szCs w:val="32"/>
        </w:rPr>
        <w:t>分析得分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×20%+</w:t>
      </w:r>
      <w:r>
        <w:rPr>
          <w:rFonts w:ascii="Times New Roman" w:eastAsia="方正仿宋简体" w:hAnsi="Times New Roman" w:cs="Times New Roman"/>
          <w:sz w:val="32"/>
          <w:szCs w:val="32"/>
        </w:rPr>
        <w:t>市场调研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×20%+</w:t>
      </w:r>
      <w:r>
        <w:rPr>
          <w:rFonts w:ascii="Times New Roman" w:eastAsia="方正仿宋简体" w:hAnsi="Times New Roman" w:cs="Times New Roman"/>
          <w:sz w:val="32"/>
          <w:szCs w:val="32"/>
        </w:rPr>
        <w:t>商业模式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×20%+</w:t>
      </w:r>
      <w:r>
        <w:rPr>
          <w:rFonts w:ascii="Times New Roman" w:eastAsia="方正仿宋简体" w:hAnsi="Times New Roman" w:cs="Times New Roman"/>
          <w:sz w:val="32"/>
          <w:szCs w:val="32"/>
        </w:rPr>
        <w:t>营销策略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×20%+</w:t>
      </w:r>
      <w:r>
        <w:rPr>
          <w:rFonts w:ascii="Times New Roman" w:eastAsia="方正仿宋简体" w:hAnsi="Times New Roman" w:cs="Times New Roman"/>
          <w:sz w:val="32"/>
          <w:szCs w:val="32"/>
        </w:rPr>
        <w:t>行动方案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×20%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numPr>
          <w:ilvl w:val="0"/>
          <w:numId w:val="1"/>
        </w:numPr>
        <w:spacing w:line="560" w:lineRule="exact"/>
        <w:ind w:firstLine="640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Times New Roman"/>
          <w:sz w:val="32"/>
          <w:szCs w:val="32"/>
        </w:rPr>
        <w:t>实战营销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参赛选手通</w:t>
      </w:r>
      <w:r>
        <w:rPr>
          <w:rFonts w:ascii="Times New Roman" w:eastAsia="方正仿宋简体" w:hAnsi="Times New Roman" w:cs="Times New Roman"/>
          <w:sz w:val="32"/>
          <w:szCs w:val="32"/>
        </w:rPr>
        <w:t>过正大集团线上平台进行指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定产品的实战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lastRenderedPageBreak/>
        <w:t>营销。各赛区根据当地情况提供线上销售平台（其中中南区实战营销赛道所用电商平台为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正创校园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）及产品，参赛选手选择其中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个平台进行销售，以营销成绩排名计分</w:t>
      </w:r>
      <w:r>
        <w:rPr>
          <w:rFonts w:ascii="Times New Roman" w:eastAsia="方正仿宋简体" w:hAnsi="Times New Roman" w:cs="Times New Roman"/>
          <w:sz w:val="32"/>
          <w:szCs w:val="32"/>
        </w:rPr>
        <w:t>，评分采用百分制。此项占赛区初赛成绩的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60%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比赛分为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B2B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赛道和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B2C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赛道。所有赛区均可选报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B2C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赛道，浙江、甘肃、成都、河南、内蒙、陕西的参赛团队可在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B2C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或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B2B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赛道任选其一，中南区实战营销赛事规则同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B2C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赛道。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所有选择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B2C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渠道的参赛团队报名完成后均需完成云商开店申请。申请方式为：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以参赛团队为单位（参赛团队队长手机号为唯一认证手机号进行店铺注册）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依据所属赛区分别扫描以下二维码，完成开店申请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。</w:t>
      </w:r>
    </w:p>
    <w:p w:rsidR="006865BA" w:rsidRDefault="006865BA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黑龙江赛区：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                  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江苏赛区：</w:t>
      </w:r>
    </w:p>
    <w:p w:rsidR="006865BA" w:rsidRDefault="008529C8" w:rsidP="008529C8">
      <w:pPr>
        <w:spacing w:line="560" w:lineRule="exact"/>
        <w:ind w:firstLine="52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62230</wp:posOffset>
            </wp:positionV>
            <wp:extent cx="1695450" cy="1685925"/>
            <wp:effectExtent l="0" t="0" r="6350" b="15875"/>
            <wp:wrapSquare wrapText="bothSides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59055</wp:posOffset>
            </wp:positionV>
            <wp:extent cx="1704975" cy="1704975"/>
            <wp:effectExtent l="0" t="0" r="22225" b="22225"/>
            <wp:wrapSquare wrapText="bothSides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5BA" w:rsidRDefault="006865BA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6865BA" w:rsidRDefault="006865BA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6865BA" w:rsidRDefault="006865BA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6865BA" w:rsidRDefault="006865BA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6865BA" w:rsidRDefault="006865BA">
      <w:pPr>
        <w:spacing w:line="560" w:lineRule="exact"/>
        <w:ind w:firstLineChars="0" w:firstLine="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6865BA" w:rsidRDefault="006865BA">
      <w:pPr>
        <w:spacing w:line="560" w:lineRule="exact"/>
        <w:ind w:firstLineChars="0" w:firstLine="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6865BA" w:rsidRDefault="006865BA">
      <w:pPr>
        <w:spacing w:line="560" w:lineRule="exact"/>
        <w:ind w:firstLineChars="0" w:firstLine="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6865BA" w:rsidRDefault="008529C8" w:rsidP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西南赛区：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                     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津冀赛区：</w:t>
      </w:r>
    </w:p>
    <w:p w:rsidR="006865BA" w:rsidRDefault="008529C8" w:rsidP="008529C8">
      <w:pPr>
        <w:spacing w:line="560" w:lineRule="exact"/>
        <w:ind w:firstLine="52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95885</wp:posOffset>
            </wp:positionV>
            <wp:extent cx="1695450" cy="1724025"/>
            <wp:effectExtent l="0" t="0" r="6350" b="3175"/>
            <wp:wrapSquare wrapText="bothSides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87630</wp:posOffset>
            </wp:positionV>
            <wp:extent cx="1714500" cy="1704975"/>
            <wp:effectExtent l="0" t="0" r="12700" b="22225"/>
            <wp:wrapSquare wrapText="bothSides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5BA" w:rsidRDefault="006865BA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6865BA" w:rsidRDefault="006865BA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6865BA" w:rsidRDefault="006865BA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6865BA" w:rsidRDefault="006865BA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6865BA" w:rsidRDefault="006865BA" w:rsidP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6865BA" w:rsidRDefault="008529C8" w:rsidP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中东南赛区：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                  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北方赛区：</w:t>
      </w:r>
    </w:p>
    <w:p w:rsidR="006865BA" w:rsidRDefault="008529C8" w:rsidP="008529C8">
      <w:pPr>
        <w:spacing w:line="560" w:lineRule="exact"/>
        <w:ind w:firstLine="52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62230</wp:posOffset>
            </wp:positionV>
            <wp:extent cx="1724025" cy="1724025"/>
            <wp:effectExtent l="0" t="0" r="3175" b="3175"/>
            <wp:wrapSquare wrapText="bothSides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46355</wp:posOffset>
            </wp:positionV>
            <wp:extent cx="1714500" cy="1724025"/>
            <wp:effectExtent l="0" t="0" r="12700" b="3175"/>
            <wp:wrapSquare wrapText="bothSides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5BA" w:rsidRDefault="006865BA" w:rsidP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6865BA" w:rsidRDefault="006865BA" w:rsidP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6865BA" w:rsidRDefault="006865BA" w:rsidP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6865BA" w:rsidRDefault="006865BA" w:rsidP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6865BA" w:rsidRDefault="006865BA">
      <w:pPr>
        <w:spacing w:line="560" w:lineRule="exact"/>
        <w:ind w:firstLineChars="0" w:firstLine="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）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B2C</w:t>
      </w:r>
      <w:r>
        <w:rPr>
          <w:rFonts w:ascii="Times New Roman" w:eastAsia="方正仿宋简体" w:hAnsi="Times New Roman" w:cs="Times New Roman"/>
          <w:sz w:val="32"/>
          <w:szCs w:val="32"/>
        </w:rPr>
        <w:t>赛道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比赛成绩将从销售指标、传播推广、客户推广、运营管理四个方面进行计算，评分采用百分制。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实战营销成绩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=</w:t>
      </w:r>
      <w:r>
        <w:rPr>
          <w:rFonts w:ascii="Times New Roman" w:eastAsia="方正仿宋简体" w:hAnsi="Times New Roman" w:cs="Times New Roman"/>
          <w:sz w:val="32"/>
          <w:szCs w:val="32"/>
        </w:rPr>
        <w:t>（销售额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×100/</w:t>
      </w:r>
      <w:r>
        <w:rPr>
          <w:rFonts w:ascii="Times New Roman" w:eastAsia="方正仿宋简体" w:hAnsi="Times New Roman" w:cs="Times New Roman"/>
          <w:sz w:val="32"/>
          <w:szCs w:val="32"/>
        </w:rPr>
        <w:t>最高销售额）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×50%+</w:t>
      </w:r>
      <w:r>
        <w:rPr>
          <w:rFonts w:ascii="Times New Roman" w:eastAsia="方正仿宋简体" w:hAnsi="Times New Roman" w:cs="Times New Roman"/>
          <w:sz w:val="32"/>
          <w:szCs w:val="32"/>
        </w:rPr>
        <w:t>（访问量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×100/</w:t>
      </w:r>
      <w:r>
        <w:rPr>
          <w:rFonts w:ascii="Times New Roman" w:eastAsia="方正仿宋简体" w:hAnsi="Times New Roman" w:cs="Times New Roman"/>
          <w:sz w:val="32"/>
          <w:szCs w:val="32"/>
        </w:rPr>
        <w:t>最高访问量）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×20%+</w:t>
      </w:r>
      <w:r>
        <w:rPr>
          <w:rFonts w:ascii="Times New Roman" w:eastAsia="方正仿宋简体" w:hAnsi="Times New Roman" w:cs="Times New Roman"/>
          <w:sz w:val="32"/>
          <w:szCs w:val="32"/>
        </w:rPr>
        <w:t>（客户数量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×100/</w:t>
      </w:r>
      <w:r>
        <w:rPr>
          <w:rFonts w:ascii="Times New Roman" w:eastAsia="方正仿宋简体" w:hAnsi="Times New Roman" w:cs="Times New Roman"/>
          <w:sz w:val="32"/>
          <w:szCs w:val="32"/>
        </w:rPr>
        <w:t>最高客户数量）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×20%+</w:t>
      </w:r>
      <w:r>
        <w:rPr>
          <w:rFonts w:ascii="Times New Roman" w:eastAsia="方正仿宋简体" w:hAnsi="Times New Roman" w:cs="Times New Roman"/>
          <w:sz w:val="32"/>
          <w:szCs w:val="32"/>
        </w:rPr>
        <w:t>运营管理分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×10%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销售指标：以销售额为标准，最高销售额为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100</w:t>
      </w:r>
      <w:r>
        <w:rPr>
          <w:rFonts w:ascii="Times New Roman" w:eastAsia="方正仿宋简体" w:hAnsi="Times New Roman" w:cs="Times New Roman"/>
          <w:sz w:val="32"/>
          <w:szCs w:val="32"/>
        </w:rPr>
        <w:t>分，其余销售额按比例折合实际得分值，此项占实战营销分值的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50%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传播推广：以访问量为标准，最高访问量为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100</w:t>
      </w:r>
      <w:r>
        <w:rPr>
          <w:rFonts w:ascii="Times New Roman" w:eastAsia="方正仿宋简体" w:hAnsi="Times New Roman" w:cs="Times New Roman"/>
          <w:sz w:val="32"/>
          <w:szCs w:val="32"/>
        </w:rPr>
        <w:t>分，其余访问量按比例折合实际得分值，此项占实战营销分值的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lastRenderedPageBreak/>
        <w:t>20%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客户推广：以客户数量为标准，最高客户数量为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100</w:t>
      </w:r>
      <w:r>
        <w:rPr>
          <w:rFonts w:ascii="Times New Roman" w:eastAsia="方正仿宋简体" w:hAnsi="Times New Roman" w:cs="Times New Roman"/>
          <w:sz w:val="32"/>
          <w:szCs w:val="32"/>
        </w:rPr>
        <w:t>分，其余客户数量按比例折合实际得分值，此项占实战营销分值的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20%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运营管理：各赛区销售主管，根据参赛团队表现，分别从营销创意、团队协作、客户服务等方面给予团队打分，总分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100</w:t>
      </w:r>
      <w:r>
        <w:rPr>
          <w:rFonts w:ascii="Times New Roman" w:eastAsia="方正仿宋简体" w:hAnsi="Times New Roman" w:cs="Times New Roman"/>
          <w:sz w:val="32"/>
          <w:szCs w:val="32"/>
        </w:rPr>
        <w:t>分，此项占实战营销分值的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10%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numPr>
          <w:ilvl w:val="0"/>
          <w:numId w:val="2"/>
        </w:num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B2B</w:t>
      </w:r>
      <w:r>
        <w:rPr>
          <w:rFonts w:ascii="Times New Roman" w:eastAsia="方正仿宋简体" w:hAnsi="Times New Roman" w:cs="Times New Roman"/>
          <w:sz w:val="32"/>
          <w:szCs w:val="32"/>
        </w:rPr>
        <w:t>赛道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比赛成绩将从销售指标、传播推广、客户推广、运营管理四个方面进行评比，评分采用百分制。</w:t>
      </w:r>
    </w:p>
    <w:p w:rsidR="006865BA" w:rsidRDefault="008529C8">
      <w:pPr>
        <w:spacing w:line="560" w:lineRule="exact"/>
        <w:ind w:firstLine="640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实战营销成绩</w:t>
      </w:r>
      <w:r>
        <w:rPr>
          <w:rFonts w:ascii="Times New Roman" w:eastAsia="方正仿宋简体" w:hAnsi="Times New Roman" w:cs="Times New Roman"/>
          <w:sz w:val="32"/>
          <w:szCs w:val="32"/>
        </w:rPr>
        <w:t>=</w:t>
      </w:r>
      <w:r>
        <w:rPr>
          <w:rFonts w:ascii="Times New Roman" w:eastAsia="方正仿宋简体" w:hAnsi="Times New Roman" w:cs="Times New Roman"/>
          <w:sz w:val="32"/>
          <w:szCs w:val="32"/>
        </w:rPr>
        <w:t>（销售额</w:t>
      </w:r>
      <w:r>
        <w:rPr>
          <w:rFonts w:ascii="Times New Roman" w:eastAsia="方正仿宋简体" w:hAnsi="Times New Roman" w:cs="Times New Roman"/>
          <w:sz w:val="32"/>
          <w:szCs w:val="32"/>
        </w:rPr>
        <w:t>×100/</w:t>
      </w:r>
      <w:r>
        <w:rPr>
          <w:rFonts w:ascii="Times New Roman" w:eastAsia="方正仿宋简体" w:hAnsi="Times New Roman" w:cs="Times New Roman"/>
          <w:sz w:val="32"/>
          <w:szCs w:val="32"/>
        </w:rPr>
        <w:t>最高销售额）</w:t>
      </w:r>
      <w:r>
        <w:rPr>
          <w:rFonts w:ascii="Times New Roman" w:eastAsia="方正仿宋简体" w:hAnsi="Times New Roman" w:cs="Times New Roman"/>
          <w:sz w:val="32"/>
          <w:szCs w:val="32"/>
        </w:rPr>
        <w:t>×30%+</w:t>
      </w:r>
      <w:r>
        <w:rPr>
          <w:rFonts w:ascii="Times New Roman" w:eastAsia="方正仿宋简体" w:hAnsi="Times New Roman" w:cs="Times New Roman"/>
          <w:sz w:val="32"/>
          <w:szCs w:val="32"/>
        </w:rPr>
        <w:t>（注册量</w:t>
      </w:r>
      <w:r>
        <w:rPr>
          <w:rFonts w:ascii="Times New Roman" w:eastAsia="方正仿宋简体" w:hAnsi="Times New Roman" w:cs="Times New Roman"/>
          <w:sz w:val="32"/>
          <w:szCs w:val="32"/>
        </w:rPr>
        <w:t>×100/</w:t>
      </w:r>
      <w:r>
        <w:rPr>
          <w:rFonts w:ascii="Times New Roman" w:eastAsia="方正仿宋简体" w:hAnsi="Times New Roman" w:cs="Times New Roman"/>
          <w:sz w:val="32"/>
          <w:szCs w:val="32"/>
        </w:rPr>
        <w:t>最高注册量）</w:t>
      </w:r>
      <w:r>
        <w:rPr>
          <w:rFonts w:ascii="Times New Roman" w:eastAsia="方正仿宋简体" w:hAnsi="Times New Roman" w:cs="Times New Roman"/>
          <w:sz w:val="32"/>
          <w:szCs w:val="32"/>
        </w:rPr>
        <w:t>×20%+</w:t>
      </w:r>
      <w:r>
        <w:rPr>
          <w:rFonts w:ascii="Times New Roman" w:eastAsia="方正仿宋简体" w:hAnsi="Times New Roman" w:cs="Times New Roman"/>
          <w:sz w:val="32"/>
          <w:szCs w:val="32"/>
        </w:rPr>
        <w:t>（客户数量</w:t>
      </w:r>
      <w:r>
        <w:rPr>
          <w:rFonts w:ascii="Times New Roman" w:eastAsia="方正仿宋简体" w:hAnsi="Times New Roman" w:cs="Times New Roman"/>
          <w:sz w:val="32"/>
          <w:szCs w:val="32"/>
        </w:rPr>
        <w:t>×100/</w:t>
      </w:r>
      <w:r>
        <w:rPr>
          <w:rFonts w:ascii="Times New Roman" w:eastAsia="方正仿宋简体" w:hAnsi="Times New Roman" w:cs="Times New Roman"/>
          <w:sz w:val="32"/>
          <w:szCs w:val="32"/>
        </w:rPr>
        <w:t>最高客户数量）</w:t>
      </w:r>
      <w:r>
        <w:rPr>
          <w:rFonts w:ascii="Times New Roman" w:eastAsia="方正仿宋简体" w:hAnsi="Times New Roman" w:cs="Times New Roman"/>
          <w:sz w:val="32"/>
          <w:szCs w:val="32"/>
        </w:rPr>
        <w:t>×40%+</w:t>
      </w:r>
      <w:r>
        <w:rPr>
          <w:rFonts w:ascii="Times New Roman" w:eastAsia="方正仿宋简体" w:hAnsi="Times New Roman" w:cs="Times New Roman"/>
          <w:sz w:val="32"/>
          <w:szCs w:val="32"/>
        </w:rPr>
        <w:t>运营管理分</w:t>
      </w:r>
      <w:r>
        <w:rPr>
          <w:rFonts w:ascii="Times New Roman" w:eastAsia="方正仿宋简体" w:hAnsi="Times New Roman" w:cs="Times New Roman"/>
          <w:sz w:val="32"/>
          <w:szCs w:val="32"/>
        </w:rPr>
        <w:t>×10%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销售指标：以销售额为标准，最高销售额为</w:t>
      </w:r>
      <w:r>
        <w:rPr>
          <w:rFonts w:ascii="Times New Roman" w:eastAsia="方正仿宋简体" w:hAnsi="Times New Roman" w:cs="Times New Roman"/>
          <w:sz w:val="32"/>
          <w:szCs w:val="32"/>
        </w:rPr>
        <w:t>100</w:t>
      </w:r>
      <w:r>
        <w:rPr>
          <w:rFonts w:ascii="Times New Roman" w:eastAsia="方正仿宋简体" w:hAnsi="Times New Roman" w:cs="Times New Roman"/>
          <w:sz w:val="32"/>
          <w:szCs w:val="32"/>
        </w:rPr>
        <w:t>分，其余销售额按比例折合实际得分值，此项占实战营销分值的</w:t>
      </w:r>
      <w:r>
        <w:rPr>
          <w:rFonts w:ascii="Times New Roman" w:eastAsia="方正仿宋简体" w:hAnsi="Times New Roman" w:cs="Times New Roman"/>
          <w:sz w:val="32"/>
          <w:szCs w:val="32"/>
        </w:rPr>
        <w:t>30%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传播推广：以注册量为标准，最高访问量为</w:t>
      </w:r>
      <w:r>
        <w:rPr>
          <w:rFonts w:ascii="Times New Roman" w:eastAsia="方正仿宋简体" w:hAnsi="Times New Roman" w:cs="Times New Roman"/>
          <w:sz w:val="32"/>
          <w:szCs w:val="32"/>
        </w:rPr>
        <w:t>100</w:t>
      </w:r>
      <w:r>
        <w:rPr>
          <w:rFonts w:ascii="Times New Roman" w:eastAsia="方正仿宋简体" w:hAnsi="Times New Roman" w:cs="Times New Roman"/>
          <w:sz w:val="32"/>
          <w:szCs w:val="32"/>
        </w:rPr>
        <w:t>分，其余访问量按比例折合实际得分值，此项占实战营销分值的</w:t>
      </w:r>
      <w:r>
        <w:rPr>
          <w:rFonts w:ascii="Times New Roman" w:eastAsia="方正仿宋简体" w:hAnsi="Times New Roman" w:cs="Times New Roman"/>
          <w:sz w:val="32"/>
          <w:szCs w:val="32"/>
        </w:rPr>
        <w:t>20%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客户推广：以客户数量为标准，最高客户数量为</w:t>
      </w:r>
      <w:r>
        <w:rPr>
          <w:rFonts w:ascii="Times New Roman" w:eastAsia="方正仿宋简体" w:hAnsi="Times New Roman" w:cs="Times New Roman"/>
          <w:sz w:val="32"/>
          <w:szCs w:val="32"/>
        </w:rPr>
        <w:t>100</w:t>
      </w:r>
      <w:r>
        <w:rPr>
          <w:rFonts w:ascii="Times New Roman" w:eastAsia="方正仿宋简体" w:hAnsi="Times New Roman" w:cs="Times New Roman"/>
          <w:sz w:val="32"/>
          <w:szCs w:val="32"/>
        </w:rPr>
        <w:t>分，其余客户数量按比例折合实际得分值，此项占实战营销分值的</w:t>
      </w:r>
      <w:r>
        <w:rPr>
          <w:rFonts w:ascii="Times New Roman" w:eastAsia="方正仿宋简体" w:hAnsi="Times New Roman" w:cs="Times New Roman"/>
          <w:sz w:val="32"/>
          <w:szCs w:val="32"/>
        </w:rPr>
        <w:t>40%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运营管理：各销售负责人，根据参赛团队表现，分别从渠道拓展、营销创意、团队协作、客户服务等方面给予团队</w:t>
      </w: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打分，总分</w:t>
      </w:r>
      <w:r>
        <w:rPr>
          <w:rFonts w:ascii="Times New Roman" w:eastAsia="方正仿宋简体" w:hAnsi="Times New Roman" w:cs="Times New Roman"/>
          <w:sz w:val="32"/>
          <w:szCs w:val="32"/>
        </w:rPr>
        <w:t>100</w:t>
      </w:r>
      <w:r>
        <w:rPr>
          <w:rFonts w:ascii="Times New Roman" w:eastAsia="方正仿宋简体" w:hAnsi="Times New Roman" w:cs="Times New Roman"/>
          <w:sz w:val="32"/>
          <w:szCs w:val="32"/>
        </w:rPr>
        <w:t>分，此项占实战营销分值的</w:t>
      </w:r>
      <w:r>
        <w:rPr>
          <w:rFonts w:ascii="Times New Roman" w:eastAsia="方正仿宋简体" w:hAnsi="Times New Roman" w:cs="Times New Roman"/>
          <w:sz w:val="32"/>
          <w:szCs w:val="32"/>
        </w:rPr>
        <w:t>10%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Times New Roman"/>
          <w:sz w:val="32"/>
          <w:szCs w:val="32"/>
        </w:rPr>
        <w:t>（二）赛区决赛评审规则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赛区决赛采用线上或线下答辩的形式，</w:t>
      </w:r>
      <w:r>
        <w:rPr>
          <w:rFonts w:ascii="Times New Roman" w:eastAsia="方正仿宋简体" w:hAnsi="Times New Roman" w:cs="Times New Roman"/>
          <w:sz w:val="32"/>
          <w:szCs w:val="32"/>
        </w:rPr>
        <w:t>答辩评审采取百分制。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答辩路演时间为每个作品</w:t>
      </w:r>
      <w:r>
        <w:rPr>
          <w:rFonts w:ascii="Times New Roman" w:eastAsia="方正仿宋简体" w:hAnsi="Times New Roman" w:cs="Times New Roman"/>
          <w:sz w:val="32"/>
          <w:szCs w:val="32"/>
        </w:rPr>
        <w:t>8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分钟，其中选手阐述为</w:t>
      </w:r>
      <w:r>
        <w:rPr>
          <w:rFonts w:ascii="Times New Roman" w:eastAsia="方正仿宋简体" w:hAnsi="Times New Roman" w:cs="Times New Roman"/>
          <w:sz w:val="32"/>
          <w:szCs w:val="32"/>
        </w:rPr>
        <w:t>6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分钟，回答评委提问为</w:t>
      </w: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分钟。参赛团队分别从方案介绍、营销策略、产品运营、发展规划、团队展现等方面对策划案进行讲解。</w:t>
      </w:r>
      <w:r>
        <w:rPr>
          <w:rFonts w:ascii="Times New Roman" w:eastAsia="方正仿宋简体" w:hAnsi="Times New Roman" w:cs="Times New Roman"/>
          <w:sz w:val="32"/>
          <w:szCs w:val="32"/>
        </w:rPr>
        <w:t>各赛区组委会将邀请正大集团各销售主管进行评审。评委将从参赛作品的创新性、商业性、可持续性及团队表现四个方面进行综合评分，评分采用百分制，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各赛区根据组委会配额对所在区参赛项目进行选拔。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赛区决赛成绩</w:t>
      </w:r>
      <w:r>
        <w:rPr>
          <w:rFonts w:ascii="Times New Roman" w:eastAsia="方正仿宋简体" w:hAnsi="Times New Roman" w:cs="Times New Roman"/>
          <w:sz w:val="32"/>
          <w:szCs w:val="32"/>
        </w:rPr>
        <w:t>=</w:t>
      </w:r>
      <w:r>
        <w:rPr>
          <w:rFonts w:ascii="Times New Roman" w:eastAsia="方正仿宋简体" w:hAnsi="Times New Roman" w:cs="Times New Roman"/>
          <w:sz w:val="32"/>
          <w:szCs w:val="32"/>
        </w:rPr>
        <w:t>创新性得分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+</w:t>
      </w:r>
      <w:r>
        <w:rPr>
          <w:rFonts w:ascii="Times New Roman" w:eastAsia="方正仿宋简体" w:hAnsi="Times New Roman" w:cs="Times New Roman"/>
          <w:sz w:val="32"/>
          <w:szCs w:val="32"/>
        </w:rPr>
        <w:t>商业性得分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+</w:t>
      </w:r>
      <w:r>
        <w:rPr>
          <w:rFonts w:ascii="Times New Roman" w:eastAsia="方正仿宋简体" w:hAnsi="Times New Roman" w:cs="Times New Roman"/>
          <w:sz w:val="32"/>
          <w:szCs w:val="32"/>
        </w:rPr>
        <w:t>可持续性得分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+</w:t>
      </w:r>
      <w:r>
        <w:rPr>
          <w:rFonts w:ascii="Times New Roman" w:eastAsia="方正仿宋简体" w:hAnsi="Times New Roman" w:cs="Times New Roman"/>
          <w:sz w:val="32"/>
          <w:szCs w:val="32"/>
        </w:rPr>
        <w:t>团队表现得分。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创新性：在看问题的角度、解决问题的办法、业务模式思路的创新点；强调利用互联网技术、方法和思维在内容设计、文案宣传、研发、物流、信息、人力、管理等方面进行突破和创新，此项占赛区决赛成绩的</w:t>
      </w:r>
      <w:r>
        <w:rPr>
          <w:rFonts w:ascii="Times New Roman" w:eastAsia="方正仿宋简体" w:hAnsi="Times New Roman" w:cs="Times New Roman"/>
          <w:sz w:val="32"/>
          <w:szCs w:val="32"/>
        </w:rPr>
        <w:t>30%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商业性：在经营绩效方面考察在销售额、市场份额、持续盈利等方面的表现；商业模式方面，考察设计的完整性与可行性，并给出完整的商业模式，同时考察在机会识别与利用、竞争与合作、技术基础、产品或服务设计、资金及人员需求、现行法律限制等方面具有可行性；考察项目是否具备广阔的商业前景，此项占赛区决赛成绩的</w:t>
      </w:r>
      <w:r>
        <w:rPr>
          <w:rFonts w:ascii="Times New Roman" w:eastAsia="方正仿宋简体" w:hAnsi="Times New Roman" w:cs="Times New Roman"/>
          <w:sz w:val="32"/>
          <w:szCs w:val="32"/>
        </w:rPr>
        <w:t>40%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可持续性：核心方案的可用性，解决方案是否具有可复制及推广性，此项占赛区决赛成绩的</w:t>
      </w:r>
      <w:r>
        <w:rPr>
          <w:rFonts w:ascii="Times New Roman" w:eastAsia="方正仿宋简体" w:hAnsi="Times New Roman" w:cs="Times New Roman"/>
          <w:sz w:val="32"/>
          <w:szCs w:val="32"/>
        </w:rPr>
        <w:t>15%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团队表现：考察项目团队成员的教育背景、价值观念、擅长领域，成员的分工和业务互补情况；考察团队的组织架构、人员配置安排是否科学，此项占赛区决赛成绩的</w:t>
      </w:r>
      <w:r>
        <w:rPr>
          <w:rFonts w:ascii="Times New Roman" w:eastAsia="方正仿宋简体" w:hAnsi="Times New Roman" w:cs="Times New Roman"/>
          <w:sz w:val="32"/>
          <w:szCs w:val="32"/>
        </w:rPr>
        <w:t>15%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Times New Roman"/>
          <w:sz w:val="32"/>
          <w:szCs w:val="32"/>
        </w:rPr>
        <w:t>（三）全国总决赛评审规则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大赛创意、创新、创业三个方面发布总决赛命题。评委将从创意、创新、创业三个方面进行评分，评分采用百分制。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赛区决赛成绩</w:t>
      </w:r>
      <w:r>
        <w:rPr>
          <w:rFonts w:ascii="Times New Roman" w:eastAsia="方正仿宋简体" w:hAnsi="Times New Roman" w:cs="Times New Roman"/>
          <w:sz w:val="32"/>
          <w:szCs w:val="32"/>
        </w:rPr>
        <w:t>=</w:t>
      </w:r>
      <w:r>
        <w:rPr>
          <w:rFonts w:ascii="Times New Roman" w:eastAsia="方正仿宋简体" w:hAnsi="Times New Roman" w:cs="Times New Roman"/>
          <w:sz w:val="32"/>
          <w:szCs w:val="32"/>
        </w:rPr>
        <w:t>创意</w:t>
      </w:r>
      <w:r>
        <w:rPr>
          <w:rFonts w:ascii="Times New Roman" w:eastAsia="方正仿宋简体" w:hAnsi="Times New Roman" w:cs="Times New Roman"/>
          <w:sz w:val="32"/>
          <w:szCs w:val="32"/>
        </w:rPr>
        <w:t>×40%+</w:t>
      </w:r>
      <w:r>
        <w:rPr>
          <w:rFonts w:ascii="Times New Roman" w:eastAsia="方正仿宋简体" w:hAnsi="Times New Roman" w:cs="Times New Roman"/>
          <w:sz w:val="32"/>
          <w:szCs w:val="32"/>
        </w:rPr>
        <w:t>创新</w:t>
      </w:r>
      <w:r>
        <w:rPr>
          <w:rFonts w:ascii="Times New Roman" w:eastAsia="方正仿宋简体" w:hAnsi="Times New Roman" w:cs="Times New Roman"/>
          <w:sz w:val="32"/>
          <w:szCs w:val="32"/>
        </w:rPr>
        <w:t>×20%+</w:t>
      </w:r>
      <w:r>
        <w:rPr>
          <w:rFonts w:ascii="Times New Roman" w:eastAsia="方正仿宋简体" w:hAnsi="Times New Roman" w:cs="Times New Roman"/>
          <w:sz w:val="32"/>
          <w:szCs w:val="32"/>
        </w:rPr>
        <w:t>创业</w:t>
      </w:r>
      <w:r>
        <w:rPr>
          <w:rFonts w:ascii="Times New Roman" w:eastAsia="方正仿宋简体" w:hAnsi="Times New Roman" w:cs="Times New Roman"/>
          <w:sz w:val="32"/>
          <w:szCs w:val="32"/>
        </w:rPr>
        <w:t>×40%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1. </w:t>
      </w:r>
      <w:r>
        <w:rPr>
          <w:rFonts w:ascii="Times New Roman" w:eastAsia="方正仿宋简体" w:hAnsi="Times New Roman" w:cs="Times New Roman"/>
          <w:sz w:val="32"/>
          <w:szCs w:val="32"/>
        </w:rPr>
        <w:t>创意方面：考察是否提交针对命题的策划方案，并进行公开答辩，评审规则同赛区决赛评审规则，此项占总决赛成绩的</w:t>
      </w:r>
      <w:r>
        <w:rPr>
          <w:rFonts w:ascii="Times New Roman" w:eastAsia="方正仿宋简体" w:hAnsi="Times New Roman" w:cs="Times New Roman"/>
          <w:sz w:val="32"/>
          <w:szCs w:val="32"/>
        </w:rPr>
        <w:t>40%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2. </w:t>
      </w:r>
      <w:r>
        <w:rPr>
          <w:rFonts w:ascii="Times New Roman" w:eastAsia="方正仿宋简体" w:hAnsi="Times New Roman" w:cs="Times New Roman"/>
          <w:sz w:val="32"/>
          <w:szCs w:val="32"/>
        </w:rPr>
        <w:t>创新方面：围绕选址、装修、选品、销售、配送等方面出题并评分，此项占总决赛成绩</w:t>
      </w:r>
      <w:r>
        <w:rPr>
          <w:rFonts w:ascii="Times New Roman" w:eastAsia="方正仿宋简体" w:hAnsi="Times New Roman" w:cs="Times New Roman"/>
          <w:sz w:val="32"/>
          <w:szCs w:val="32"/>
        </w:rPr>
        <w:t>20%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3. </w:t>
      </w:r>
      <w:r>
        <w:rPr>
          <w:rFonts w:ascii="Times New Roman" w:eastAsia="方正仿宋简体" w:hAnsi="Times New Roman" w:cs="Times New Roman"/>
          <w:sz w:val="32"/>
          <w:szCs w:val="32"/>
        </w:rPr>
        <w:t>创业方面：实战营销，以比赛当天的实际销售额为准，以最高销售额为</w:t>
      </w:r>
      <w:r>
        <w:rPr>
          <w:rFonts w:ascii="Times New Roman" w:eastAsia="方正仿宋简体" w:hAnsi="Times New Roman" w:cs="Times New Roman"/>
          <w:sz w:val="32"/>
          <w:szCs w:val="32"/>
        </w:rPr>
        <w:t>100</w:t>
      </w:r>
      <w:r>
        <w:rPr>
          <w:rFonts w:ascii="Times New Roman" w:eastAsia="方正仿宋简体" w:hAnsi="Times New Roman" w:cs="Times New Roman"/>
          <w:sz w:val="32"/>
          <w:szCs w:val="32"/>
        </w:rPr>
        <w:t>分，其余销售额按比例折合实际得分值，此项占总决赛成绩</w:t>
      </w:r>
      <w:r>
        <w:rPr>
          <w:rFonts w:ascii="Times New Roman" w:eastAsia="方正仿宋简体" w:hAnsi="Times New Roman" w:cs="Times New Roman"/>
          <w:sz w:val="32"/>
          <w:szCs w:val="32"/>
        </w:rPr>
        <w:t>40%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240" w:lineRule="auto"/>
        <w:ind w:firstLineChars="0" w:firstLine="0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/>
          <w:sz w:val="32"/>
          <w:szCs w:val="32"/>
        </w:rPr>
        <w:t>七</w:t>
      </w:r>
      <w:r>
        <w:rPr>
          <w:rFonts w:ascii="方正黑体简体" w:eastAsia="方正黑体简体" w:hint="eastAsia"/>
          <w:sz w:val="32"/>
          <w:szCs w:val="32"/>
        </w:rPr>
        <w:t>、奖项设置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1. </w:t>
      </w:r>
      <w:r>
        <w:rPr>
          <w:rFonts w:ascii="Times New Roman" w:eastAsia="方正仿宋简体" w:hAnsi="Times New Roman" w:cs="Times New Roman"/>
          <w:sz w:val="32"/>
          <w:szCs w:val="32"/>
        </w:rPr>
        <w:t>各赛区赛设立一二三等奖和优秀导师奖，颁发获奖证书及奖金；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一等奖（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</w:t>
      </w:r>
      <w:r>
        <w:rPr>
          <w:rFonts w:ascii="Times New Roman" w:eastAsia="方正仿宋简体" w:hAnsi="Times New Roman" w:cs="Times New Roman"/>
          <w:sz w:val="32"/>
          <w:szCs w:val="32"/>
        </w:rPr>
        <w:t>）：奖金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简体" w:hAnsi="Times New Roman" w:cs="Times New Roman"/>
          <w:sz w:val="32"/>
          <w:szCs w:val="32"/>
        </w:rPr>
        <w:t>000</w:t>
      </w:r>
      <w:r>
        <w:rPr>
          <w:rFonts w:ascii="Times New Roman" w:eastAsia="方正仿宋简体" w:hAnsi="Times New Roman" w:cs="Times New Roman"/>
          <w:sz w:val="32"/>
          <w:szCs w:val="32"/>
        </w:rPr>
        <w:t>元；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二等奖（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</w:t>
      </w:r>
      <w:r>
        <w:rPr>
          <w:rFonts w:ascii="Times New Roman" w:eastAsia="方正仿宋简体" w:hAnsi="Times New Roman" w:cs="Times New Roman"/>
          <w:sz w:val="32"/>
          <w:szCs w:val="32"/>
        </w:rPr>
        <w:t>）：奖金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000</w:t>
      </w:r>
      <w:r>
        <w:rPr>
          <w:rFonts w:ascii="Times New Roman" w:eastAsia="方正仿宋简体" w:hAnsi="Times New Roman" w:cs="Times New Roman"/>
          <w:sz w:val="32"/>
          <w:szCs w:val="32"/>
        </w:rPr>
        <w:t>元；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三等奖（</w:t>
      </w:r>
      <w:r>
        <w:rPr>
          <w:rFonts w:ascii="Times New Roman" w:eastAsia="方正仿宋简体" w:hAnsi="Times New Roman" w:cs="Times New Roman"/>
          <w:sz w:val="32"/>
          <w:szCs w:val="32"/>
        </w:rPr>
        <w:t>4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</w:t>
      </w:r>
      <w:r>
        <w:rPr>
          <w:rFonts w:ascii="Times New Roman" w:eastAsia="方正仿宋简体" w:hAnsi="Times New Roman" w:cs="Times New Roman"/>
          <w:sz w:val="32"/>
          <w:szCs w:val="32"/>
        </w:rPr>
        <w:t>）：奖金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000</w:t>
      </w:r>
      <w:r>
        <w:rPr>
          <w:rFonts w:ascii="Times New Roman" w:eastAsia="方正仿宋简体" w:hAnsi="Times New Roman" w:cs="Times New Roman"/>
          <w:sz w:val="32"/>
          <w:szCs w:val="32"/>
        </w:rPr>
        <w:t>元；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优秀导师奖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名：奖金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000</w:t>
      </w:r>
      <w:r>
        <w:rPr>
          <w:rFonts w:ascii="Times New Roman" w:eastAsia="方正仿宋简体" w:hAnsi="Times New Roman" w:cs="Times New Roman"/>
          <w:sz w:val="32"/>
          <w:szCs w:val="32"/>
        </w:rPr>
        <w:t>元。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2. </w:t>
      </w:r>
      <w:r>
        <w:rPr>
          <w:rFonts w:ascii="Times New Roman" w:eastAsia="方正仿宋简体" w:hAnsi="Times New Roman" w:cs="Times New Roman"/>
          <w:sz w:val="32"/>
          <w:szCs w:val="32"/>
        </w:rPr>
        <w:t>总决赛设立金、银、铜奖和优秀导师奖，颁发获奖证书及奖金；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金奖（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</w:t>
      </w:r>
      <w:r>
        <w:rPr>
          <w:rFonts w:ascii="Times New Roman" w:eastAsia="方正仿宋简体" w:hAnsi="Times New Roman" w:cs="Times New Roman"/>
          <w:sz w:val="32"/>
          <w:szCs w:val="32"/>
        </w:rPr>
        <w:t>）：奖金</w:t>
      </w:r>
      <w:r>
        <w:rPr>
          <w:rFonts w:ascii="Times New Roman" w:eastAsia="方正仿宋简体" w:hAnsi="Times New Roman" w:cs="Times New Roman"/>
          <w:sz w:val="32"/>
          <w:szCs w:val="32"/>
        </w:rPr>
        <w:t>5000</w:t>
      </w:r>
      <w:r>
        <w:rPr>
          <w:rFonts w:ascii="Times New Roman" w:eastAsia="方正仿宋简体" w:hAnsi="Times New Roman" w:cs="Times New Roman"/>
          <w:sz w:val="32"/>
          <w:szCs w:val="32"/>
        </w:rPr>
        <w:t>元；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银奖（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</w:t>
      </w:r>
      <w:r>
        <w:rPr>
          <w:rFonts w:ascii="Times New Roman" w:eastAsia="方正仿宋简体" w:hAnsi="Times New Roman" w:cs="Times New Roman"/>
          <w:sz w:val="32"/>
          <w:szCs w:val="32"/>
        </w:rPr>
        <w:t>）：奖金</w:t>
      </w:r>
      <w:r>
        <w:rPr>
          <w:rFonts w:ascii="Times New Roman" w:eastAsia="方正仿宋简体" w:hAnsi="Times New Roman" w:cs="Times New Roman"/>
          <w:sz w:val="32"/>
          <w:szCs w:val="32"/>
        </w:rPr>
        <w:t>3000</w:t>
      </w:r>
      <w:r>
        <w:rPr>
          <w:rFonts w:ascii="Times New Roman" w:eastAsia="方正仿宋简体" w:hAnsi="Times New Roman" w:cs="Times New Roman"/>
          <w:sz w:val="32"/>
          <w:szCs w:val="32"/>
        </w:rPr>
        <w:t>元；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铜奖（</w:t>
      </w:r>
      <w:r>
        <w:rPr>
          <w:rFonts w:ascii="Times New Roman" w:eastAsia="方正仿宋简体" w:hAnsi="Times New Roman" w:cs="Times New Roman"/>
          <w:sz w:val="32"/>
          <w:szCs w:val="32"/>
        </w:rPr>
        <w:t>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</w:t>
      </w:r>
      <w:r>
        <w:rPr>
          <w:rFonts w:ascii="Times New Roman" w:eastAsia="方正仿宋简体" w:hAnsi="Times New Roman" w:cs="Times New Roman"/>
          <w:sz w:val="32"/>
          <w:szCs w:val="32"/>
        </w:rPr>
        <w:t>)</w:t>
      </w:r>
      <w:r>
        <w:rPr>
          <w:rFonts w:ascii="Times New Roman" w:eastAsia="方正仿宋简体" w:hAnsi="Times New Roman" w:cs="Times New Roman"/>
          <w:sz w:val="32"/>
          <w:szCs w:val="32"/>
        </w:rPr>
        <w:t>：奖金</w:t>
      </w:r>
      <w:r>
        <w:rPr>
          <w:rFonts w:ascii="Times New Roman" w:eastAsia="方正仿宋简体" w:hAnsi="Times New Roman" w:cs="Times New Roman"/>
          <w:sz w:val="32"/>
          <w:szCs w:val="32"/>
        </w:rPr>
        <w:t>2000</w:t>
      </w:r>
      <w:r>
        <w:rPr>
          <w:rFonts w:ascii="Times New Roman" w:eastAsia="方正仿宋简体" w:hAnsi="Times New Roman" w:cs="Times New Roman"/>
          <w:sz w:val="32"/>
          <w:szCs w:val="32"/>
        </w:rPr>
        <w:t>元；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优秀导师奖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名：奖金</w:t>
      </w:r>
      <w:r>
        <w:rPr>
          <w:rFonts w:ascii="Times New Roman" w:eastAsia="方正仿宋简体" w:hAnsi="Times New Roman" w:cs="Times New Roman"/>
          <w:sz w:val="32"/>
          <w:szCs w:val="32"/>
        </w:rPr>
        <w:t>2000</w:t>
      </w:r>
      <w:r>
        <w:rPr>
          <w:rFonts w:ascii="Times New Roman" w:eastAsia="方正仿宋简体" w:hAnsi="Times New Roman" w:cs="Times New Roman"/>
          <w:sz w:val="32"/>
          <w:szCs w:val="32"/>
        </w:rPr>
        <w:t>元。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3. </w:t>
      </w:r>
      <w:r>
        <w:rPr>
          <w:rFonts w:ascii="Times New Roman" w:eastAsia="方正仿宋简体" w:hAnsi="Times New Roman" w:cs="Times New Roman"/>
          <w:sz w:val="32"/>
          <w:szCs w:val="32"/>
        </w:rPr>
        <w:t>大赛设赛区优秀组织奖、高校优秀组织奖、优秀指导教师奖，由组委会颁发证书；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4. </w:t>
      </w:r>
      <w:r>
        <w:rPr>
          <w:rFonts w:ascii="Times New Roman" w:eastAsia="方正仿宋简体" w:hAnsi="Times New Roman" w:cs="Times New Roman"/>
          <w:sz w:val="32"/>
          <w:szCs w:val="32"/>
        </w:rPr>
        <w:t>游学交流：总决赛的优胜获奖团队，将受邀赴泰国正大集团总部游学（视疫情情况灵活调整，可考虑国内工厂参观交流），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学习</w:t>
      </w:r>
      <w:r>
        <w:rPr>
          <w:rFonts w:ascii="Times New Roman" w:eastAsia="方正仿宋简体" w:hAnsi="Times New Roman" w:cs="Times New Roman"/>
          <w:sz w:val="32"/>
          <w:szCs w:val="32"/>
        </w:rPr>
        <w:t>正大集团的管理模式、研发技术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等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5. 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项目落地支持：参赛的优秀项目有机会获得正大创业基金的投资，创新创业项目与正大集团产业上下游相结合，真正落地市场化，加强产学研的深度合作，共创社会价值。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6. 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其他支持：比赛中所销售的产品均由正大集团按成本价提供；参赛团队所得销售净利润，将由正大集团以助学金形式全额发放给参赛团队，团队学生可于规定时间点</w:t>
      </w:r>
      <w:r>
        <w:rPr>
          <w:rFonts w:ascii="Times New Roman" w:eastAsia="方正仿宋简体" w:hAnsi="Times New Roman" w:cs="Times New Roman"/>
          <w:sz w:val="32"/>
          <w:szCs w:val="32"/>
        </w:rPr>
        <w:t>，在正大云商平台自行提取。</w:t>
      </w:r>
    </w:p>
    <w:p w:rsidR="006865BA" w:rsidRDefault="008529C8">
      <w:pPr>
        <w:spacing w:line="240" w:lineRule="auto"/>
        <w:ind w:firstLineChars="0" w:firstLine="0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/>
          <w:sz w:val="32"/>
          <w:szCs w:val="32"/>
        </w:rPr>
        <w:t>八、注意事项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、凡报名参赛选手需关注大赛官方公众号：正大集团招聘，赛事期间的各项公告将统一在公众号发布。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、参赛选手需按公众号公告提示，添加各赛区助手微信号，进入赛区交流微信群。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、全国组委会联系人：董慧英</w:t>
      </w:r>
    </w:p>
    <w:p w:rsidR="006865BA" w:rsidRDefault="008529C8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联系方式：</w:t>
      </w:r>
      <w:r>
        <w:rPr>
          <w:rFonts w:ascii="Times New Roman" w:eastAsia="方正仿宋简体" w:hAnsi="Times New Roman" w:cs="Times New Roman"/>
          <w:sz w:val="32"/>
          <w:szCs w:val="32"/>
        </w:rPr>
        <w:t>010-85089023</w:t>
      </w:r>
    </w:p>
    <w:p w:rsidR="001D27EE" w:rsidRDefault="001D27EE">
      <w:pPr>
        <w:widowControl/>
        <w:spacing w:line="240" w:lineRule="auto"/>
        <w:ind w:firstLineChars="0" w:firstLine="0"/>
        <w:jc w:val="left"/>
      </w:pPr>
      <w:r>
        <w:br w:type="page"/>
      </w:r>
    </w:p>
    <w:p w:rsidR="001D27EE" w:rsidRDefault="001D27EE" w:rsidP="001D27EE">
      <w:pPr>
        <w:spacing w:line="760" w:lineRule="exact"/>
        <w:ind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Hlk40206121"/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参赛须知</w:t>
      </w:r>
      <w:bookmarkEnd w:id="0"/>
    </w:p>
    <w:p w:rsidR="001D27EE" w:rsidRDefault="001D27EE" w:rsidP="001D27EE">
      <w:pPr>
        <w:spacing w:line="560" w:lineRule="exact"/>
        <w:ind w:firstLine="72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1D27EE" w:rsidRDefault="001D27EE" w:rsidP="001D27EE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一、参赛者需确保所填写报名信息的真实性，如提交虚假信息，赛事主办方有权取消其参赛资格。</w:t>
      </w:r>
    </w:p>
    <w:p w:rsidR="001D27EE" w:rsidRDefault="001D27EE" w:rsidP="001D27EE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二、参赛者需遵纪守法，文明参赛，不得违背赛事规则，不得恶意竞争，如发现参赛者存在违规行为，赛事主办方有权取消其参赛资格，如参赛者在比赛中有违法行为，将被依法追究其责任。</w:t>
      </w:r>
    </w:p>
    <w:p w:rsidR="001D27EE" w:rsidRDefault="001D27EE" w:rsidP="001D27EE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三、参赛者提供的作品应为原创，参赛作品所涉及的名誉权、肖像权、商标权及其他法律问题应由参赛团队自行承担责任。</w:t>
      </w:r>
    </w:p>
    <w:p w:rsidR="001D27EE" w:rsidRDefault="001D27EE" w:rsidP="001D27EE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四、参赛者需严格按照赛事组委会规定参赛，如因个人原因造成损失，需自行承担后果。</w:t>
      </w:r>
    </w:p>
    <w:p w:rsidR="001D27EE" w:rsidRDefault="001D27EE" w:rsidP="001D27EE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五、所有参赛团队比赛结束后不得透露评审相关信息，以及比赛具体细节。</w:t>
      </w:r>
    </w:p>
    <w:p w:rsidR="001D27EE" w:rsidRDefault="001D27EE" w:rsidP="001D27EE">
      <w:pPr>
        <w:ind w:firstLine="640"/>
      </w:pPr>
      <w:r>
        <w:rPr>
          <w:rFonts w:ascii="Times New Roman" w:eastAsia="方正仿宋简体" w:hAnsi="Times New Roman" w:cs="Times New Roman"/>
          <w:sz w:val="32"/>
          <w:szCs w:val="32"/>
        </w:rPr>
        <w:t>六、本须知解释权</w:t>
      </w:r>
      <w:proofErr w:type="gramStart"/>
      <w:r>
        <w:rPr>
          <w:rFonts w:ascii="Times New Roman" w:eastAsia="方正仿宋简体" w:hAnsi="Times New Roman" w:cs="Times New Roman"/>
          <w:sz w:val="32"/>
          <w:szCs w:val="32"/>
        </w:rPr>
        <w:t>归大赛</w:t>
      </w:r>
      <w:proofErr w:type="gramEnd"/>
      <w:r>
        <w:rPr>
          <w:rFonts w:ascii="Times New Roman" w:eastAsia="方正仿宋简体" w:hAnsi="Times New Roman" w:cs="Times New Roman"/>
          <w:sz w:val="32"/>
          <w:szCs w:val="32"/>
        </w:rPr>
        <w:t>组委会所有。</w:t>
      </w:r>
    </w:p>
    <w:p w:rsidR="006865BA" w:rsidRPr="001D27EE" w:rsidRDefault="006865BA" w:rsidP="006865BA">
      <w:pPr>
        <w:ind w:firstLine="520"/>
      </w:pPr>
      <w:bookmarkStart w:id="1" w:name="_GoBack"/>
      <w:bookmarkEnd w:id="1"/>
    </w:p>
    <w:sectPr w:rsidR="006865BA" w:rsidRPr="001D27EE" w:rsidSect="006865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19" w:rsidRDefault="00A02519" w:rsidP="001D27EE">
      <w:pPr>
        <w:spacing w:line="240" w:lineRule="auto"/>
        <w:ind w:firstLine="520"/>
      </w:pPr>
      <w:r>
        <w:separator/>
      </w:r>
    </w:p>
  </w:endnote>
  <w:endnote w:type="continuationSeparator" w:id="0">
    <w:p w:rsidR="00A02519" w:rsidRDefault="00A02519" w:rsidP="001D27EE">
      <w:pPr>
        <w:spacing w:line="240" w:lineRule="auto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Helvetica Neue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EE" w:rsidRDefault="001D27EE" w:rsidP="001D27EE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EE" w:rsidRDefault="001D27EE" w:rsidP="001D27EE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EE" w:rsidRDefault="001D27EE" w:rsidP="001D27EE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19" w:rsidRDefault="00A02519" w:rsidP="001D27EE">
      <w:pPr>
        <w:spacing w:line="240" w:lineRule="auto"/>
        <w:ind w:firstLine="520"/>
      </w:pPr>
      <w:r>
        <w:separator/>
      </w:r>
    </w:p>
  </w:footnote>
  <w:footnote w:type="continuationSeparator" w:id="0">
    <w:p w:rsidR="00A02519" w:rsidRDefault="00A02519" w:rsidP="001D27EE">
      <w:pPr>
        <w:spacing w:line="240" w:lineRule="auto"/>
        <w:ind w:firstLine="5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EE" w:rsidRDefault="001D27EE" w:rsidP="001D27EE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EE" w:rsidRDefault="001D27EE" w:rsidP="001D27EE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EE" w:rsidRDefault="001D27EE" w:rsidP="001D27EE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AA436B"/>
    <w:multiLevelType w:val="singleLevel"/>
    <w:tmpl w:val="94AA436B"/>
    <w:lvl w:ilvl="0">
      <w:start w:val="2"/>
      <w:numFmt w:val="decimal"/>
      <w:suff w:val="nothing"/>
      <w:lvlText w:val="（%1）"/>
      <w:lvlJc w:val="left"/>
      <w:rPr>
        <w:rFonts w:ascii="Times New Roman" w:hAnsi="Times New Roman" w:cs="Times New Roman" w:hint="default"/>
      </w:rPr>
    </w:lvl>
  </w:abstractNum>
  <w:abstractNum w:abstractNumId="1">
    <w:nsid w:val="557E7713"/>
    <w:multiLevelType w:val="singleLevel"/>
    <w:tmpl w:val="557E7713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F24BB411"/>
    <w:rsid w:val="8BFEF740"/>
    <w:rsid w:val="977FD70D"/>
    <w:rsid w:val="C99A997C"/>
    <w:rsid w:val="CEBD03E4"/>
    <w:rsid w:val="D57F633B"/>
    <w:rsid w:val="DDFDBF0C"/>
    <w:rsid w:val="E8B95F39"/>
    <w:rsid w:val="F24BB411"/>
    <w:rsid w:val="FF7F8F48"/>
    <w:rsid w:val="FF8A0850"/>
    <w:rsid w:val="FFFE5FC6"/>
    <w:rsid w:val="001D27EE"/>
    <w:rsid w:val="006865BA"/>
    <w:rsid w:val="008529C8"/>
    <w:rsid w:val="00A02519"/>
    <w:rsid w:val="06D93866"/>
    <w:rsid w:val="36FF800E"/>
    <w:rsid w:val="39500987"/>
    <w:rsid w:val="3D73C4EF"/>
    <w:rsid w:val="7BBF098A"/>
    <w:rsid w:val="7FE5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5BA"/>
    <w:pPr>
      <w:widowControl w:val="0"/>
      <w:spacing w:line="420" w:lineRule="exact"/>
      <w:ind w:firstLineChars="200" w:firstLine="1440"/>
      <w:jc w:val="both"/>
    </w:pPr>
    <w:rPr>
      <w:rFonts w:eastAsia="仿宋_GB2312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865BA"/>
    <w:pPr>
      <w:jc w:val="left"/>
    </w:pPr>
  </w:style>
  <w:style w:type="character" w:styleId="a4">
    <w:name w:val="Hyperlink"/>
    <w:basedOn w:val="a0"/>
    <w:qFormat/>
    <w:rsid w:val="006865BA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6865BA"/>
    <w:pPr>
      <w:ind w:firstLine="420"/>
    </w:pPr>
  </w:style>
  <w:style w:type="paragraph" w:customStyle="1" w:styleId="10">
    <w:name w:val="列出段落1"/>
    <w:basedOn w:val="a"/>
    <w:uiPriority w:val="34"/>
    <w:qFormat/>
    <w:rsid w:val="006865BA"/>
    <w:pPr>
      <w:widowControl/>
      <w:adjustRightInd w:val="0"/>
      <w:snapToGrid w:val="0"/>
      <w:spacing w:after="200"/>
      <w:ind w:firstLine="420"/>
      <w:jc w:val="left"/>
    </w:pPr>
    <w:rPr>
      <w:rFonts w:ascii="Tahoma" w:eastAsia="微软雅黑" w:hAnsi="Tahoma"/>
      <w:kern w:val="0"/>
      <w:sz w:val="22"/>
    </w:rPr>
  </w:style>
  <w:style w:type="paragraph" w:styleId="a5">
    <w:name w:val="header"/>
    <w:basedOn w:val="a"/>
    <w:link w:val="Char"/>
    <w:rsid w:val="001D2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D27EE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0"/>
    <w:rsid w:val="001D27E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D27EE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sunxuefei</dc:creator>
  <cp:lastModifiedBy>Administrator</cp:lastModifiedBy>
  <cp:revision>3</cp:revision>
  <dcterms:created xsi:type="dcterms:W3CDTF">2020-05-13T12:14:00Z</dcterms:created>
  <dcterms:modified xsi:type="dcterms:W3CDTF">2020-05-18T14:01:00Z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