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2" w:rsidRPr="00A52572" w:rsidRDefault="00A52572" w:rsidP="00A52572">
      <w:pPr>
        <w:spacing w:line="600" w:lineRule="exact"/>
        <w:rPr>
          <w:rStyle w:val="fontstyle01"/>
          <w:rFonts w:ascii="仿宋_GB2312" w:eastAsia="仿宋_GB2312" w:hint="eastAsia"/>
          <w:sz w:val="32"/>
          <w:szCs w:val="32"/>
        </w:rPr>
      </w:pPr>
      <w:r w:rsidRPr="00A52572">
        <w:rPr>
          <w:rStyle w:val="fontstyle01"/>
          <w:rFonts w:ascii="仿宋_GB2312" w:eastAsia="仿宋_GB2312" w:hint="eastAsia"/>
          <w:sz w:val="32"/>
          <w:szCs w:val="32"/>
        </w:rPr>
        <w:t>附件：</w:t>
      </w:r>
    </w:p>
    <w:p w:rsidR="00A52572" w:rsidRDefault="00A52572" w:rsidP="00A52572">
      <w:pPr>
        <w:spacing w:line="600" w:lineRule="exact"/>
        <w:jc w:val="center"/>
        <w:rPr>
          <w:rStyle w:val="fontstyle01"/>
          <w:rFonts w:ascii="方正粗黑宋简体" w:eastAsia="方正粗黑宋简体" w:hAnsi="方正粗黑宋简体" w:hint="eastAsia"/>
          <w:sz w:val="44"/>
          <w:szCs w:val="44"/>
        </w:rPr>
      </w:pPr>
      <w:r w:rsidRPr="00A52572">
        <w:rPr>
          <w:rFonts w:ascii="方正粗黑宋简体" w:eastAsia="方正粗黑宋简体" w:hAnsi="方正粗黑宋简体" w:hint="eastAsia"/>
          <w:b/>
          <w:bCs/>
          <w:sz w:val="44"/>
          <w:szCs w:val="44"/>
        </w:rPr>
        <w:t>第十届中国大学生高分子材料创新创业大赛</w:t>
      </w:r>
      <w:r w:rsidRPr="00A52572">
        <w:rPr>
          <w:rStyle w:val="fontstyle01"/>
          <w:rFonts w:ascii="方正粗黑宋简体" w:eastAsia="方正粗黑宋简体" w:hAnsi="方正粗黑宋简体"/>
          <w:sz w:val="44"/>
          <w:szCs w:val="44"/>
        </w:rPr>
        <w:t>“揭榜挂帅”赛道</w:t>
      </w:r>
    </w:p>
    <w:p w:rsidR="00A52572" w:rsidRPr="00A52572" w:rsidRDefault="00A52572" w:rsidP="00A52572">
      <w:pPr>
        <w:spacing w:line="600" w:lineRule="exact"/>
        <w:jc w:val="center"/>
        <w:rPr>
          <w:rStyle w:val="fontstyle01"/>
          <w:rFonts w:ascii="仿宋_GB2312" w:eastAsia="仿宋_GB2312" w:hint="eastAsia"/>
          <w:sz w:val="32"/>
          <w:szCs w:val="32"/>
        </w:rPr>
      </w:pPr>
      <w:r>
        <w:rPr>
          <w:rStyle w:val="fontstyle01"/>
          <w:rFonts w:ascii="仿宋_GB2312" w:eastAsia="仿宋_GB2312"/>
          <w:sz w:val="32"/>
          <w:szCs w:val="32"/>
        </w:rPr>
        <w:t>（部分命题</w:t>
      </w:r>
      <w:r w:rsidRPr="00A52572">
        <w:rPr>
          <w:rStyle w:val="fontstyle01"/>
          <w:rFonts w:ascii="仿宋_GB2312" w:eastAsia="仿宋_GB2312"/>
          <w:sz w:val="32"/>
          <w:szCs w:val="32"/>
        </w:rPr>
        <w:t>）</w:t>
      </w:r>
    </w:p>
    <w:p w:rsidR="00A52572" w:rsidRDefault="00A52572" w:rsidP="00A52572">
      <w:pPr>
        <w:spacing w:line="600" w:lineRule="exact"/>
        <w:rPr>
          <w:rStyle w:val="fontstyle01"/>
          <w:rFonts w:ascii="仿宋_GB2312" w:eastAsia="仿宋_GB2312" w:hint="eastAsia"/>
          <w:sz w:val="32"/>
          <w:szCs w:val="32"/>
        </w:rPr>
      </w:pPr>
      <w:r>
        <w:rPr>
          <w:rFonts w:ascii="FangSong" w:hAnsi="FangSong"/>
          <w:color w:val="000000"/>
          <w:sz w:val="28"/>
          <w:szCs w:val="28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1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）过低成本、低能耗、绿色工艺将白炭黑均匀分散到橡胶基体中，改善橡胶复合材料的物理性能及耐磨性能；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2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）通过低成本、低能耗、绿色工艺将石墨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烯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均匀分散到橡胶基体中，提升橡胶复合材料的物理性能及耐磨性能，同时使橡胶制品拥有防静电特性；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3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）从产品设计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端以及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生产工艺端，综合识别影响胎胚轮廓的关键因子并制定相应的改善措施，优化胎胚轮廓与模具轮廓的匹配度，同时结合硫化模具精度以及设备精度管理，根本解决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硫化胶边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问题；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4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）花纹外观、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沟块比例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、节距设计及排列、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NVH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仿真模拟等措施应用，以达到磨耗提升、噪音降低的需求；轮廓设计优化、接地印痕设计、材料分布优化等，通过以上设计手段实现低噪音、高耐磨、高湿滑、低滚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阻产品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的开发。通过优化生胶体系、填充体系，调整配合工艺等措施，实现高耐磨、高湿滑、低滚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阻产品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的开发。磨耗里程达到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15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万公里，抗湿滑性能达到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B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级、滚动阻力达到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A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级，噪音达到二阶段要求，代表规格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205/55R16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5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）逆向双层尼龙子口在一次法成型机反包等；绿色低滚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lastRenderedPageBreak/>
        <w:t>阻轮胎试验场地以及研发相关设备；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6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）绿色能源再利用、生物质能技术解决方案；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7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）不添加化学药剂，不产生二次污染；</w:t>
      </w:r>
      <w:r>
        <w:rPr>
          <w:rStyle w:val="fontstyle01"/>
          <w:rFonts w:ascii="仿宋_GB2312" w:eastAsia="仿宋_GB2312" w:hint="eastAsia"/>
          <w:sz w:val="32"/>
          <w:szCs w:val="32"/>
        </w:rPr>
        <w:t>生产过程</w:t>
      </w:r>
      <w:proofErr w:type="gramStart"/>
      <w:r>
        <w:rPr>
          <w:rStyle w:val="fontstyle01"/>
          <w:rFonts w:ascii="仿宋_GB2312" w:eastAsia="仿宋_GB2312" w:hint="eastAsia"/>
          <w:sz w:val="32"/>
          <w:szCs w:val="32"/>
        </w:rPr>
        <w:t>中减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碳的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排放量；工艺简单，全自动化流程；再生胶的效果能达到原胶的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80%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以上；胶粉转化率高于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92%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；再生胶不含欧盟禁止化学物质，可以出口欧盟等国家；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8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）开发的丙烯酸乳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液产品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可以满足膨胀型钢结构防火涂料需求，该乳液复配的防火涂料产品可以满足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GB14907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《钢结构防火涂料》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中室外型钢结构防火涂料的技术要求；可以实现产业化；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9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</w:t>
      </w:r>
      <w:proofErr w:type="gramStart"/>
      <w:r w:rsidRPr="00A52572">
        <w:rPr>
          <w:rStyle w:val="fontstyle01"/>
          <w:rFonts w:ascii="仿宋_GB2312" w:eastAsia="仿宋_GB2312" w:hint="eastAsia"/>
          <w:sz w:val="32"/>
          <w:szCs w:val="32"/>
        </w:rPr>
        <w:t>满足国</w:t>
      </w:r>
      <w:proofErr w:type="gramEnd"/>
      <w:r w:rsidRPr="00A52572">
        <w:rPr>
          <w:rStyle w:val="fontstyle01"/>
          <w:rFonts w:ascii="仿宋_GB2312" w:eastAsia="仿宋_GB2312" w:hint="eastAsia"/>
          <w:sz w:val="32"/>
          <w:szCs w:val="32"/>
        </w:rPr>
        <w:t>六排放标准的稀土三元催化剂的开发以及产业化需要的生产工艺、设备、检测仪器及标准的生产工艺包；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10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）提高抗盐耐温聚合物技术性能指标。</w:t>
      </w:r>
    </w:p>
    <w:p w:rsidR="003B397B" w:rsidRPr="00A52572" w:rsidRDefault="00A52572" w:rsidP="00A52572">
      <w:pPr>
        <w:spacing w:line="600" w:lineRule="exact"/>
        <w:rPr>
          <w:rFonts w:ascii="仿宋_GB2312" w:eastAsia="仿宋_GB2312" w:hint="eastAsia"/>
          <w:b/>
          <w:bCs/>
          <w:sz w:val="32"/>
          <w:szCs w:val="32"/>
        </w:rPr>
      </w:pP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注：（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1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）“揭榜挂帅”赛道项目具有明确的产权归属，团队需有较强研发能力，具备实现揭榜攻关及成果转化的基本能力，具有解决技术需求难题的相关前期工作基础；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2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）“揭榜挂帅”赛道团队全体成员及指导老师应具备良好的社会信用，近三年内无不良信用记录或重大违法行为；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21"/>
          <w:rFonts w:ascii="仿宋_GB2312" w:eastAsia="仿宋_GB2312" w:hint="eastAsia"/>
          <w:sz w:val="32"/>
          <w:szCs w:val="32"/>
        </w:rPr>
        <w:t>3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）主赛道与“揭榜挂帅”赛道同场竞技，以相同标准进行评审及评奖；</w:t>
      </w:r>
      <w:r w:rsidRPr="00A52572">
        <w:rPr>
          <w:rFonts w:ascii="仿宋_GB2312" w:eastAsia="仿宋_GB2312" w:hAnsi="FangSong" w:hint="eastAsia"/>
          <w:color w:val="000000"/>
          <w:sz w:val="32"/>
          <w:szCs w:val="32"/>
        </w:rPr>
        <w:br/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（</w:t>
      </w:r>
      <w:r w:rsidRPr="00A52572">
        <w:rPr>
          <w:rStyle w:val="fontstyle11"/>
          <w:rFonts w:ascii="仿宋_GB2312" w:eastAsia="仿宋_GB2312" w:hint="eastAsia"/>
          <w:sz w:val="32"/>
          <w:szCs w:val="32"/>
        </w:rPr>
        <w:t>4</w:t>
      </w:r>
      <w:r w:rsidRPr="00A52572">
        <w:rPr>
          <w:rStyle w:val="fontstyle01"/>
          <w:rFonts w:ascii="仿宋_GB2312" w:eastAsia="仿宋_GB2312" w:hint="eastAsia"/>
          <w:sz w:val="32"/>
          <w:szCs w:val="32"/>
        </w:rPr>
        <w:t>）入围决赛的“揭榜挂帅”赛道作品将有机会获得企业意向签约、资金支持及政府科技人才等方面政策支持。</w:t>
      </w:r>
    </w:p>
    <w:sectPr w:rsidR="003B397B" w:rsidRPr="00A52572" w:rsidSect="003B3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572"/>
    <w:rsid w:val="000B797C"/>
    <w:rsid w:val="003B397B"/>
    <w:rsid w:val="009C19D6"/>
    <w:rsid w:val="00A52572"/>
    <w:rsid w:val="00D07CC0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2"/>
    <w:pPr>
      <w:spacing w:line="240" w:lineRule="auto"/>
      <w:ind w:firstLineChars="0" w:firstLine="0"/>
      <w:jc w:val="left"/>
    </w:pPr>
    <w:rPr>
      <w:rFonts w:ascii="微软雅黑" w:eastAsia="微软雅黑" w:hAnsi="微软雅黑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A52572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2572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525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525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A5257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2022-03-15T01:16:00Z</dcterms:created>
  <dcterms:modified xsi:type="dcterms:W3CDTF">2022-03-15T01:21:00Z</dcterms:modified>
</cp:coreProperties>
</file>